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BE" w:rsidRPr="00053BA2" w:rsidRDefault="00D77CBE" w:rsidP="00500876">
      <w:pPr>
        <w:jc w:val="center"/>
      </w:pPr>
      <w:bookmarkStart w:id="0" w:name="_GoBack"/>
      <w:bookmarkEnd w:id="0"/>
      <w:r w:rsidRPr="00053BA2">
        <w:t>Daniel Castro</w:t>
      </w:r>
      <w:r w:rsidR="00500876" w:rsidRPr="00053BA2">
        <w:br/>
      </w:r>
      <w:r w:rsidRPr="00053BA2">
        <w:t>Senior Analyst</w:t>
      </w:r>
      <w:r w:rsidRPr="00053BA2">
        <w:br/>
        <w:t>Information Technology and Innovation Foundation (ITIF)</w:t>
      </w:r>
    </w:p>
    <w:p w:rsidR="00D77CBE" w:rsidRPr="00053BA2" w:rsidRDefault="00D77CBE" w:rsidP="00500876">
      <w:pPr>
        <w:jc w:val="center"/>
      </w:pPr>
      <w:r w:rsidRPr="00053BA2">
        <w:t>“</w:t>
      </w:r>
      <w:r w:rsidR="005A4ED9">
        <w:t xml:space="preserve">Should the Department of Commerce Relinquish Direct Oversight </w:t>
      </w:r>
      <w:proofErr w:type="gramStart"/>
      <w:r w:rsidR="005A4ED9">
        <w:t>Over</w:t>
      </w:r>
      <w:proofErr w:type="gramEnd"/>
      <w:r w:rsidR="005A4ED9">
        <w:t xml:space="preserve"> ICANN</w:t>
      </w:r>
      <w:r w:rsidRPr="00053BA2">
        <w:t>”</w:t>
      </w:r>
    </w:p>
    <w:p w:rsidR="00D77CBE" w:rsidRPr="00053BA2" w:rsidRDefault="00D77CBE" w:rsidP="00500876">
      <w:pPr>
        <w:jc w:val="center"/>
      </w:pPr>
      <w:r w:rsidRPr="00053BA2">
        <w:t>Before the</w:t>
      </w:r>
      <w:r w:rsidR="00500876" w:rsidRPr="00053BA2">
        <w:br/>
      </w:r>
      <w:r w:rsidRPr="00053BA2">
        <w:t>Committee on the Judiciary</w:t>
      </w:r>
      <w:r w:rsidR="00500876" w:rsidRPr="00053BA2">
        <w:br/>
      </w:r>
      <w:r w:rsidRPr="00053BA2">
        <w:t xml:space="preserve">Subcommittee on </w:t>
      </w:r>
      <w:r w:rsidR="005A4ED9">
        <w:t xml:space="preserve">Courts, </w:t>
      </w:r>
      <w:r w:rsidRPr="00053BA2">
        <w:t xml:space="preserve">Intellectual </w:t>
      </w:r>
      <w:r w:rsidR="0086591A" w:rsidRPr="00053BA2">
        <w:t>Property and the Internet</w:t>
      </w:r>
    </w:p>
    <w:p w:rsidR="00D77CBE" w:rsidRPr="00053BA2" w:rsidRDefault="005A4ED9" w:rsidP="00500876">
      <w:pPr>
        <w:jc w:val="center"/>
      </w:pPr>
      <w:r>
        <w:t xml:space="preserve">April </w:t>
      </w:r>
      <w:r w:rsidR="000D5843">
        <w:t>10</w:t>
      </w:r>
      <w:r>
        <w:t>, 2014</w:t>
      </w:r>
    </w:p>
    <w:p w:rsidR="00680E7D" w:rsidRPr="00053BA2" w:rsidRDefault="00680E7D" w:rsidP="00B41291">
      <w:pPr>
        <w:ind w:firstLine="720"/>
      </w:pPr>
    </w:p>
    <w:p w:rsidR="00FB4346" w:rsidRDefault="00D77CBE" w:rsidP="006A2C8E">
      <w:pPr>
        <w:ind w:firstLine="720"/>
      </w:pPr>
      <w:r w:rsidRPr="00053BA2">
        <w:t xml:space="preserve">Chairman </w:t>
      </w:r>
      <w:r w:rsidR="005A4ED9">
        <w:t xml:space="preserve">Coble </w:t>
      </w:r>
      <w:r w:rsidRPr="00053BA2">
        <w:t xml:space="preserve">and members of the </w:t>
      </w:r>
      <w:r w:rsidR="00462C1B">
        <w:t>s</w:t>
      </w:r>
      <w:r w:rsidR="0086591A" w:rsidRPr="00053BA2">
        <w:t>ubc</w:t>
      </w:r>
      <w:r w:rsidRPr="00053BA2">
        <w:t xml:space="preserve">ommittee, I appreciate the opportunity to appear before you to discuss </w:t>
      </w:r>
      <w:r w:rsidR="00FB4346">
        <w:t xml:space="preserve">the </w:t>
      </w:r>
      <w:r w:rsidR="00685495">
        <w:t xml:space="preserve">recent decision by the Department of Commerce to give up </w:t>
      </w:r>
      <w:r w:rsidR="00FB4346">
        <w:t>U.S. oversight</w:t>
      </w:r>
      <w:r w:rsidR="00685495">
        <w:t xml:space="preserve"> of important Internet functions</w:t>
      </w:r>
      <w:r w:rsidR="00FB4346">
        <w:t>.</w:t>
      </w:r>
      <w:r w:rsidR="007C2EE7">
        <w:t xml:space="preserve"> </w:t>
      </w:r>
      <w:r w:rsidR="00FB4346" w:rsidRPr="00053BA2">
        <w:t xml:space="preserve">I am a senior analyst at the Information Technology and Innovation Foundation (ITIF). ITIF is a nonpartisan </w:t>
      </w:r>
      <w:r w:rsidR="00FB4346">
        <w:t>think tank</w:t>
      </w:r>
      <w:r w:rsidR="00FB4346" w:rsidRPr="00053BA2">
        <w:t xml:space="preserve"> whose mission is to formulate and promote public policies to advance technological innovation and productivity.</w:t>
      </w:r>
      <w:r w:rsidR="007C2EE7">
        <w:t xml:space="preserve"> </w:t>
      </w:r>
      <w:r w:rsidR="00685495" w:rsidRPr="00053BA2">
        <w:t xml:space="preserve">In my testimony today, I </w:t>
      </w:r>
      <w:r w:rsidR="00685495">
        <w:t>will discuss the unique and valuable role that U.S. oversight has served in Internet governance</w:t>
      </w:r>
      <w:r w:rsidR="00F4488C">
        <w:t xml:space="preserve">, </w:t>
      </w:r>
      <w:r w:rsidR="00685495">
        <w:t>the risks inherent in a transition away from this model</w:t>
      </w:r>
      <w:r w:rsidR="00F4488C">
        <w:t xml:space="preserve">, and how </w:t>
      </w:r>
      <w:r w:rsidR="004E1CBF">
        <w:t>to best mitigate those risks.</w:t>
      </w:r>
    </w:p>
    <w:p w:rsidR="00462C1B" w:rsidRPr="00462C1B" w:rsidRDefault="00462C1B" w:rsidP="00462C1B">
      <w:pPr>
        <w:rPr>
          <w:b/>
        </w:rPr>
      </w:pPr>
      <w:r>
        <w:rPr>
          <w:b/>
        </w:rPr>
        <w:t>Background</w:t>
      </w:r>
    </w:p>
    <w:p w:rsidR="00DC4EED" w:rsidRDefault="006E39D3" w:rsidP="006A2C8E">
      <w:pPr>
        <w:ind w:firstLine="720"/>
      </w:pPr>
      <w:r>
        <w:t xml:space="preserve">The U.S. government has had an </w:t>
      </w:r>
      <w:r w:rsidR="0053106F">
        <w:t xml:space="preserve">unparalleled </w:t>
      </w:r>
      <w:r>
        <w:t xml:space="preserve">impact on the </w:t>
      </w:r>
      <w:r w:rsidR="007A57D6">
        <w:t>development</w:t>
      </w:r>
      <w:r>
        <w:t xml:space="preserve"> of the Internet from </w:t>
      </w:r>
      <w:r w:rsidRPr="006E39D3">
        <w:t>the Defense Advanced Research Projects Agency (DARPA)</w:t>
      </w:r>
      <w:r>
        <w:t xml:space="preserve"> </w:t>
      </w:r>
      <w:r w:rsidR="000D5843">
        <w:t xml:space="preserve">building the first packet switching network </w:t>
      </w:r>
      <w:r>
        <w:t xml:space="preserve">to </w:t>
      </w:r>
      <w:r w:rsidR="000D5843">
        <w:t>the National Science Foundation</w:t>
      </w:r>
      <w:r w:rsidR="00E56965">
        <w:t xml:space="preserve"> (NSF)</w:t>
      </w:r>
      <w:r w:rsidR="000D5843">
        <w:t xml:space="preserve"> </w:t>
      </w:r>
      <w:r w:rsidR="007C2EE7">
        <w:t xml:space="preserve">funding </w:t>
      </w:r>
      <w:r w:rsidR="0053106F">
        <w:t xml:space="preserve">research that </w:t>
      </w:r>
      <w:r w:rsidR="007B1D33">
        <w:t xml:space="preserve">would </w:t>
      </w:r>
      <w:r w:rsidR="007B1D33">
        <w:lastRenderedPageBreak/>
        <w:t xml:space="preserve">eventually lead </w:t>
      </w:r>
      <w:r w:rsidR="005822AA">
        <w:t xml:space="preserve">to </w:t>
      </w:r>
      <w:r w:rsidR="007C2EE7">
        <w:t xml:space="preserve">the creation of </w:t>
      </w:r>
      <w:r w:rsidR="005822AA">
        <w:t xml:space="preserve">Google. </w:t>
      </w:r>
      <w:r w:rsidR="000D5843">
        <w:t>Over time, t</w:t>
      </w:r>
      <w:r w:rsidR="00A27510">
        <w:t>he Internet has evolved from its original roots as a domestic research network into a global platform for commerce, communication, and innovation</w:t>
      </w:r>
      <w:r w:rsidR="001A25BF">
        <w:t>; however,</w:t>
      </w:r>
      <w:r w:rsidR="00F74118">
        <w:t xml:space="preserve"> </w:t>
      </w:r>
      <w:r w:rsidR="001A25BF">
        <w:t>t</w:t>
      </w:r>
      <w:r w:rsidR="001A25BF">
        <w:t xml:space="preserve">hroughout </w:t>
      </w:r>
      <w:r w:rsidR="007A57D6">
        <w:t xml:space="preserve">this </w:t>
      </w:r>
      <w:r w:rsidR="00C5202A">
        <w:t>transformation</w:t>
      </w:r>
      <w:r w:rsidR="007A57D6">
        <w:t>,</w:t>
      </w:r>
      <w:r w:rsidR="007C2EE7">
        <w:t xml:space="preserve"> the U.S. government has </w:t>
      </w:r>
      <w:r w:rsidR="000D5843">
        <w:t xml:space="preserve">been at the forefront of </w:t>
      </w:r>
      <w:r w:rsidR="00C5202A">
        <w:t xml:space="preserve">efforts to </w:t>
      </w:r>
      <w:r w:rsidR="000D5843">
        <w:t xml:space="preserve">ensure the security, stability, and resiliency of the Internet, </w:t>
      </w:r>
      <w:r w:rsidR="00C5202A">
        <w:t xml:space="preserve">while also protecting the interests of individual users, businesses, and other stakeholders. </w:t>
      </w:r>
    </w:p>
    <w:p w:rsidR="00E56965" w:rsidRDefault="006463BF" w:rsidP="006A2C8E">
      <w:pPr>
        <w:ind w:firstLine="720"/>
      </w:pPr>
      <w:r>
        <w:t xml:space="preserve">A core </w:t>
      </w:r>
      <w:r w:rsidR="00F74118">
        <w:t xml:space="preserve">component </w:t>
      </w:r>
      <w:r>
        <w:t xml:space="preserve">of these efforts has been the oversight of </w:t>
      </w:r>
      <w:r w:rsidR="00F74118">
        <w:t xml:space="preserve">the </w:t>
      </w:r>
      <w:r w:rsidRPr="006463BF">
        <w:t>Internet Assigned Numbers Authority (IANA) functions</w:t>
      </w:r>
      <w:r>
        <w:t xml:space="preserve"> by the </w:t>
      </w:r>
      <w:r w:rsidRPr="00FB4346">
        <w:t xml:space="preserve">National Telecommunications and Information </w:t>
      </w:r>
      <w:r w:rsidR="00F74118">
        <w:t xml:space="preserve">Administration </w:t>
      </w:r>
      <w:r w:rsidRPr="00FB4346">
        <w:t xml:space="preserve">(NTIA) </w:t>
      </w:r>
      <w:r>
        <w:t xml:space="preserve">in the U.S. Department of Commerce. </w:t>
      </w:r>
      <w:r w:rsidR="00DC4EED">
        <w:t xml:space="preserve">The IANA functions </w:t>
      </w:r>
      <w:r w:rsidR="00F74118">
        <w:t>includ</w:t>
      </w:r>
      <w:r w:rsidR="00F74118">
        <w:t>e</w:t>
      </w:r>
      <w:r w:rsidR="00F74118">
        <w:t xml:space="preserve"> </w:t>
      </w:r>
      <w:r w:rsidR="00DC4EED">
        <w:t xml:space="preserve">managing the root zone of the Domain Name System (DNS), allocating Internet Protocol (IP) addresses, and various other technical functions integral to the stability </w:t>
      </w:r>
      <w:r w:rsidR="00F74118">
        <w:t xml:space="preserve">and security </w:t>
      </w:r>
      <w:r w:rsidR="00DC4EED">
        <w:t xml:space="preserve">of the Internet. </w:t>
      </w:r>
      <w:r w:rsidR="00E56965">
        <w:t>The DNS is the system that translates URLs, such as www.congress.gov, into IP address</w:t>
      </w:r>
      <w:r w:rsidR="00462C1B">
        <w:t>es</w:t>
      </w:r>
      <w:r w:rsidR="00E56965">
        <w:t>, such as 140.147.249.9. These functions were originally managed directly by contracts held by the U.S. government, but after commercial use of the Internet expanded</w:t>
      </w:r>
      <w:r w:rsidR="00462C1B">
        <w:t xml:space="preserve"> in the 1990s</w:t>
      </w:r>
      <w:r w:rsidR="00E56965">
        <w:t xml:space="preserve">, the U.S. government decided to transfer the management of the DNS and related functions to the private sector. </w:t>
      </w:r>
    </w:p>
    <w:p w:rsidR="00462C1B" w:rsidRDefault="00E56965" w:rsidP="006A2C8E">
      <w:pPr>
        <w:ind w:firstLine="720"/>
      </w:pPr>
      <w:r>
        <w:t>In July 1997, the Clinton Administration reassigned responsibility for the IANA functions from the NSF to the NTIA and authorized the Department of Commerce “</w:t>
      </w:r>
      <w:r w:rsidRPr="00E56965">
        <w:t>to support efforts to make the governance of the domain name system private and competitive and to create a contractually based self-regulatory regime that deals with potential conflicts between domain name usage and trademark laws on a global basis</w:t>
      </w:r>
      <w:r>
        <w:t>.”</w:t>
      </w:r>
      <w:r>
        <w:rPr>
          <w:rStyle w:val="EndnoteReference"/>
        </w:rPr>
        <w:endnoteReference w:id="1"/>
      </w:r>
      <w:r>
        <w:t xml:space="preserve"> The NTIA, in turn, issued two policy statements, in January and June 1998 respectively (commonly referred to as “the Green Paper” and “the White Paper”) outlining a plan to privatize the management of Internet names and addresses.</w:t>
      </w:r>
      <w:r w:rsidR="00F52F64">
        <w:rPr>
          <w:rStyle w:val="EndnoteReference"/>
        </w:rPr>
        <w:endnoteReference w:id="2"/>
      </w:r>
      <w:r w:rsidR="00462C1B">
        <w:t xml:space="preserve"> T</w:t>
      </w:r>
      <w:r>
        <w:t>he NTIA made clear that “d</w:t>
      </w:r>
      <w:r w:rsidRPr="00E56965">
        <w:t xml:space="preserve">uring the transition and thereafter, the stability of the </w:t>
      </w:r>
      <w:r w:rsidRPr="00E56965">
        <w:lastRenderedPageBreak/>
        <w:t>Internet should be the first priority of any DNS management system</w:t>
      </w:r>
      <w:r>
        <w:t>.”</w:t>
      </w:r>
      <w:r>
        <w:rPr>
          <w:rStyle w:val="EndnoteReference"/>
        </w:rPr>
        <w:endnoteReference w:id="3"/>
      </w:r>
      <w:r>
        <w:t xml:space="preserve"> </w:t>
      </w:r>
      <w:r w:rsidR="00631C63">
        <w:t xml:space="preserve">Following the publication of these policy documents, the NTIA </w:t>
      </w:r>
      <w:r w:rsidR="00F52F64">
        <w:t xml:space="preserve">signed a </w:t>
      </w:r>
      <w:r w:rsidR="00AB3E8B">
        <w:t xml:space="preserve">no-cost </w:t>
      </w:r>
      <w:r w:rsidR="00F52F64">
        <w:t>contract with</w:t>
      </w:r>
      <w:r w:rsidR="00631C63">
        <w:t xml:space="preserve"> the </w:t>
      </w:r>
      <w:r w:rsidR="00631C63" w:rsidRPr="00631C63">
        <w:t>Internet Corporation for Assigned Names and Numbers (ICANN)</w:t>
      </w:r>
      <w:r w:rsidR="00631C63">
        <w:t xml:space="preserve">, a newly-formed not-for-profit organization headquartered in Marina del Rey, California, </w:t>
      </w:r>
      <w:r w:rsidR="00F52F64">
        <w:t xml:space="preserve">tasking it with managing </w:t>
      </w:r>
      <w:r w:rsidR="00631C63">
        <w:t>the DNS</w:t>
      </w:r>
      <w:r w:rsidR="00AB3E8B">
        <w:t xml:space="preserve"> and related technical functions</w:t>
      </w:r>
      <w:r w:rsidR="00631C63">
        <w:t xml:space="preserve">. </w:t>
      </w:r>
      <w:r w:rsidR="00AB3E8B">
        <w:t xml:space="preserve">Since then, the IANA contract has been renewed and modified multiple times, and the existing IANA contract </w:t>
      </w:r>
      <w:r w:rsidR="00F74118">
        <w:t xml:space="preserve">with ICANN </w:t>
      </w:r>
      <w:r w:rsidR="00AB3E8B">
        <w:t xml:space="preserve">will expire on September 30, 2015. </w:t>
      </w:r>
      <w:r w:rsidR="00BD2710">
        <w:t>On March 14, 2014, the NTIA announced that it intends to relinquish its oversight of the IANA functions.</w:t>
      </w:r>
      <w:r w:rsidR="00BD2710">
        <w:rPr>
          <w:rStyle w:val="EndnoteReference"/>
        </w:rPr>
        <w:endnoteReference w:id="4"/>
      </w:r>
      <w:r w:rsidR="00BD2710">
        <w:t xml:space="preserve"> </w:t>
      </w:r>
    </w:p>
    <w:p w:rsidR="00AB3E8B" w:rsidRPr="009224C1" w:rsidRDefault="00EB5D5B" w:rsidP="00EB5D5B">
      <w:pPr>
        <w:rPr>
          <w:b/>
        </w:rPr>
      </w:pPr>
      <w:r w:rsidRPr="009224C1">
        <w:rPr>
          <w:b/>
        </w:rPr>
        <w:t xml:space="preserve">U.S. Oversight Has Contributed to </w:t>
      </w:r>
      <w:r w:rsidR="009224C1" w:rsidRPr="009224C1">
        <w:rPr>
          <w:b/>
        </w:rPr>
        <w:t xml:space="preserve">the Stability of the DNS and </w:t>
      </w:r>
      <w:r w:rsidR="00802E0A">
        <w:rPr>
          <w:b/>
        </w:rPr>
        <w:t xml:space="preserve">Accountability for </w:t>
      </w:r>
      <w:r w:rsidR="009224C1" w:rsidRPr="009224C1">
        <w:rPr>
          <w:b/>
        </w:rPr>
        <w:t>ICANN</w:t>
      </w:r>
    </w:p>
    <w:p w:rsidR="007E5F88" w:rsidRDefault="007E5F88" w:rsidP="007E5F88">
      <w:pPr>
        <w:ind w:firstLine="720"/>
      </w:pPr>
      <w:r>
        <w:t xml:space="preserve">The U.S. government has had, and continues to have, an important role in maintaining the security, stability, and openness of the Internet. U.S. oversight provides a backstop to ensure that ICANN satisfies its responsibilities in effectively managing the Internet’s domain name and addressing system. </w:t>
      </w:r>
      <w:r w:rsidR="00580A68">
        <w:t xml:space="preserve">This oversight </w:t>
      </w:r>
      <w:r>
        <w:t xml:space="preserve">provides the necessary assurance to the millions of companies </w:t>
      </w:r>
      <w:r w:rsidR="00580A68">
        <w:t xml:space="preserve">not just in the United States, but around the world, </w:t>
      </w:r>
      <w:r w:rsidR="00E820CA">
        <w:t xml:space="preserve">who </w:t>
      </w:r>
      <w:r>
        <w:t xml:space="preserve">invest in and use the Internet for business that the </w:t>
      </w:r>
      <w:r w:rsidRPr="007E5F88">
        <w:t>Internet</w:t>
      </w:r>
      <w:r w:rsidR="00E820CA">
        <w:t>’s basic technical architecture</w:t>
      </w:r>
      <w:r w:rsidRPr="007E5F88">
        <w:t xml:space="preserve"> will continue </w:t>
      </w:r>
      <w:r w:rsidR="00E820CA">
        <w:t xml:space="preserve">to </w:t>
      </w:r>
      <w:r w:rsidRPr="007E5F88">
        <w:t>be governed in a fair, open</w:t>
      </w:r>
      <w:r w:rsidR="00580A68">
        <w:t>,</w:t>
      </w:r>
      <w:r w:rsidRPr="007E5F88">
        <w:t xml:space="preserve"> and transparent manner</w:t>
      </w:r>
      <w:r>
        <w:t>.</w:t>
      </w:r>
      <w:r w:rsidR="005F571A" w:rsidRPr="005F571A">
        <w:t xml:space="preserve"> And under this </w:t>
      </w:r>
      <w:r w:rsidR="005F571A">
        <w:t>oversight</w:t>
      </w:r>
      <w:r w:rsidR="005F571A" w:rsidRPr="005F571A">
        <w:t xml:space="preserve">, </w:t>
      </w:r>
      <w:r w:rsidR="005F571A">
        <w:t xml:space="preserve">the world has witnessed the Internet deliver </w:t>
      </w:r>
      <w:r w:rsidR="005F571A" w:rsidRPr="005F571A">
        <w:t xml:space="preserve">an incredible amount of innovation and social benefits. </w:t>
      </w:r>
    </w:p>
    <w:p w:rsidR="00286563" w:rsidRDefault="007E5F88" w:rsidP="00C22D2A">
      <w:pPr>
        <w:ind w:firstLine="720"/>
      </w:pPr>
      <w:r>
        <w:t xml:space="preserve">Moreover, U.S. oversight has served as a deterrent to stakeholders, including certain foreign countries, who </w:t>
      </w:r>
      <w:r w:rsidR="00356550">
        <w:t xml:space="preserve">might </w:t>
      </w:r>
      <w:r w:rsidR="00C22D2A">
        <w:t xml:space="preserve">otherwise </w:t>
      </w:r>
      <w:r w:rsidR="00356550">
        <w:t>choose to interfere with ICANN’s operations</w:t>
      </w:r>
      <w:r w:rsidR="00C22D2A">
        <w:t xml:space="preserve"> or manipulate the DNS for political purposes</w:t>
      </w:r>
      <w:r w:rsidR="00356550">
        <w:t xml:space="preserve">. </w:t>
      </w:r>
      <w:r w:rsidR="00C66F7F">
        <w:t>For example, a country may want to censor a top-level domain name or have ICANN impose certain restrictions on domain name registries or registrars. However, both ICANN and t</w:t>
      </w:r>
      <w:r w:rsidR="00C22D2A">
        <w:t xml:space="preserve">he U.S. government </w:t>
      </w:r>
      <w:r w:rsidR="00C66F7F">
        <w:t>have</w:t>
      </w:r>
      <w:r w:rsidR="00C22D2A">
        <w:t xml:space="preserve"> publicly committed to ensuring </w:t>
      </w:r>
      <w:r w:rsidR="00C22D2A">
        <w:lastRenderedPageBreak/>
        <w:t>that decisions about the DNS are made in the public interest and that ICANN operates openly and transparently.</w:t>
      </w:r>
      <w:r w:rsidR="00C22D2A">
        <w:rPr>
          <w:rStyle w:val="EndnoteReference"/>
        </w:rPr>
        <w:endnoteReference w:id="5"/>
      </w:r>
      <w:r w:rsidR="00C22D2A">
        <w:t xml:space="preserve"> </w:t>
      </w:r>
      <w:r w:rsidR="00C66F7F">
        <w:t xml:space="preserve">Although the U.S. government has made a strong commitment to </w:t>
      </w:r>
      <w:r w:rsidR="00F74118">
        <w:t xml:space="preserve">upholding </w:t>
      </w:r>
      <w:r w:rsidR="00C66F7F">
        <w:t>these principles, it does not dire</w:t>
      </w:r>
      <w:r w:rsidR="00802E0A">
        <w:t xml:space="preserve">ctly exert its authority in ICANN’s </w:t>
      </w:r>
      <w:r w:rsidR="00C66F7F">
        <w:t xml:space="preserve">policymaking process. Instead, if ICANN were to fall short of these commitments, the U.S. government could intervene. </w:t>
      </w:r>
      <w:r w:rsidR="00F74118">
        <w:t>For example, as recently as 2012, the NTIA used its oversight of the IANA function to ensure that ICANN adopt an organization-wide conflict of interest policy and public reporting requirements to increase its transparency.</w:t>
      </w:r>
      <w:r w:rsidR="00F74118">
        <w:rPr>
          <w:rStyle w:val="EndnoteReference"/>
        </w:rPr>
        <w:endnoteReference w:id="6"/>
      </w:r>
      <w:r w:rsidR="00F74118">
        <w:t xml:space="preserve"> </w:t>
      </w:r>
      <w:r w:rsidR="00286563">
        <w:t>This governance structure provides tremendous benefit as it has created a</w:t>
      </w:r>
      <w:r w:rsidR="00C66F7F">
        <w:t>n open, participatory,</w:t>
      </w:r>
      <w:r w:rsidR="00286563">
        <w:t xml:space="preserve"> bottom-up structure of Internet policymaking </w:t>
      </w:r>
      <w:r w:rsidR="00C66F7F">
        <w:t xml:space="preserve">that includes </w:t>
      </w:r>
      <w:r w:rsidR="00286563">
        <w:t xml:space="preserve">constituents from the private sector, civil society, and governments, while ensuring that there is a fail-safe mechanism in place so that </w:t>
      </w:r>
      <w:r w:rsidR="00C66F7F">
        <w:t>the principles and spirit with which ICANN was created can flourish.</w:t>
      </w:r>
    </w:p>
    <w:p w:rsidR="00C66F7F" w:rsidRPr="00C66F7F" w:rsidRDefault="00C66F7F" w:rsidP="00C66F7F">
      <w:pPr>
        <w:rPr>
          <w:b/>
        </w:rPr>
      </w:pPr>
      <w:r w:rsidRPr="00C66F7F">
        <w:rPr>
          <w:b/>
        </w:rPr>
        <w:t xml:space="preserve">The </w:t>
      </w:r>
      <w:r>
        <w:rPr>
          <w:b/>
        </w:rPr>
        <w:t xml:space="preserve">Proposed </w:t>
      </w:r>
      <w:r w:rsidRPr="00C66F7F">
        <w:rPr>
          <w:b/>
        </w:rPr>
        <w:t xml:space="preserve">Transition Presents Risks to </w:t>
      </w:r>
      <w:r>
        <w:rPr>
          <w:b/>
        </w:rPr>
        <w:t>Internet Governance</w:t>
      </w:r>
    </w:p>
    <w:p w:rsidR="00B3467D" w:rsidRDefault="00750FE3" w:rsidP="00B3467D">
      <w:pPr>
        <w:ind w:firstLine="720"/>
      </w:pPr>
      <w:r>
        <w:t xml:space="preserve">The proposal to relinquish U.S. oversight of the IANA function presents unique risks to the future </w:t>
      </w:r>
      <w:r w:rsidR="00656268">
        <w:t xml:space="preserve">stability, security, and openness </w:t>
      </w:r>
      <w:r>
        <w:t xml:space="preserve">of the Internet. </w:t>
      </w:r>
      <w:r w:rsidR="00802E0A">
        <w:t xml:space="preserve">Removing oversight means removing accountability. </w:t>
      </w:r>
      <w:r w:rsidR="00B3467D">
        <w:t xml:space="preserve">Any pledge, commitment, or oath made by the current ICANN leadership is not binding unless there is some accountability mechanism </w:t>
      </w:r>
      <w:r w:rsidR="00183D96">
        <w:t xml:space="preserve">in place </w:t>
      </w:r>
      <w:r w:rsidR="00B3467D">
        <w:t xml:space="preserve">to back up that promise. Until now, the United States has served that role. If the </w:t>
      </w:r>
      <w:r w:rsidR="00183D96">
        <w:t xml:space="preserve">U.S. government </w:t>
      </w:r>
      <w:r w:rsidR="00B3467D">
        <w:t>is no longer providing that stability, an alternative mechanism is needed to ensure that ICANN is held accountable to the public interest.</w:t>
      </w:r>
    </w:p>
    <w:p w:rsidR="003C413A" w:rsidRDefault="00B758BA" w:rsidP="00C041B9">
      <w:pPr>
        <w:ind w:firstLine="720"/>
      </w:pPr>
      <w:r>
        <w:t xml:space="preserve">ICANN’s future performance </w:t>
      </w:r>
      <w:r w:rsidR="00133502">
        <w:t xml:space="preserve">in the absence of </w:t>
      </w:r>
      <w:r>
        <w:t xml:space="preserve">U.S. oversight cannot be predicted based on its past performance under U.S. oversight. U.S. oversight of ICANN </w:t>
      </w:r>
      <w:r w:rsidR="00375147">
        <w:t>resembles</w:t>
      </w:r>
      <w:r>
        <w:t xml:space="preserve"> self-regulatory systems in the private sector. In these systems, </w:t>
      </w:r>
      <w:r w:rsidR="003C413A">
        <w:t>a</w:t>
      </w:r>
      <w:r w:rsidR="006B65B7">
        <w:t>n industry-led</w:t>
      </w:r>
      <w:r w:rsidR="003C413A">
        <w:t xml:space="preserve"> self-regulatory </w:t>
      </w:r>
      <w:r w:rsidR="006B65B7">
        <w:lastRenderedPageBreak/>
        <w:t>organization sets and enforces rules and standards related to the conduct of companies in the industry</w:t>
      </w:r>
      <w:r w:rsidR="003C413A">
        <w:t xml:space="preserve">. However, </w:t>
      </w:r>
      <w:r w:rsidR="00DF4985">
        <w:t>there is typically an outside entity, such as the Federal Trade Commission</w:t>
      </w:r>
      <w:r w:rsidR="00FA70CB">
        <w:t xml:space="preserve"> (FTC)</w:t>
      </w:r>
      <w:r w:rsidR="00DF4985">
        <w:t xml:space="preserve">, which </w:t>
      </w:r>
      <w:r w:rsidR="003C413A">
        <w:t xml:space="preserve">can intervene if a company defies the self-regulatory </w:t>
      </w:r>
      <w:r w:rsidR="006B65B7">
        <w:t xml:space="preserve">organization </w:t>
      </w:r>
      <w:r w:rsidR="003C413A">
        <w:t xml:space="preserve">or if the self-regulatory </w:t>
      </w:r>
      <w:r w:rsidR="006B65B7">
        <w:t xml:space="preserve">organization </w:t>
      </w:r>
      <w:r w:rsidR="00133502">
        <w:t xml:space="preserve">produces </w:t>
      </w:r>
      <w:r w:rsidR="003C413A">
        <w:t xml:space="preserve">rules </w:t>
      </w:r>
      <w:r w:rsidR="00133502">
        <w:t xml:space="preserve">that are </w:t>
      </w:r>
      <w:r w:rsidR="003C413A">
        <w:t xml:space="preserve">insufficient to protect the public interest. </w:t>
      </w:r>
      <w:r w:rsidR="00FA70CB">
        <w:t>Just as it would be incomprehensible to suggest that an industry that has a successful track record with self-regulation no longer be subject to the FTC</w:t>
      </w:r>
      <w:r w:rsidR="00133502">
        <w:t xml:space="preserve"> or other government oversight</w:t>
      </w:r>
      <w:r w:rsidR="00FA70CB">
        <w:t xml:space="preserve">, it is a similarly dubious proposition to </w:t>
      </w:r>
      <w:r w:rsidR="0021598E">
        <w:t>suggest removing</w:t>
      </w:r>
      <w:r w:rsidR="00FA70CB">
        <w:t xml:space="preserve"> this backstop for Internet governance</w:t>
      </w:r>
      <w:r w:rsidR="0021598E">
        <w:t xml:space="preserve"> without a suitable alternative mechanism in place</w:t>
      </w:r>
      <w:r w:rsidR="00FA70CB">
        <w:t>.</w:t>
      </w:r>
    </w:p>
    <w:p w:rsidR="00491A99" w:rsidRDefault="0021598E" w:rsidP="00590E22">
      <w:pPr>
        <w:ind w:firstLine="720"/>
      </w:pPr>
      <w:r>
        <w:t>Without U.S. oversight ICANN has the potential to grow into the world’s largest unregulated monopoly. ICANN finances its operations by levying fees on the Internet resources it maintains. For every domain name that is registered, renewed, or transferred, ICANN receives between $0.18 and $0.25 per transaction.</w:t>
      </w:r>
      <w:r>
        <w:rPr>
          <w:rStyle w:val="EndnoteReference"/>
        </w:rPr>
        <w:endnoteReference w:id="7"/>
      </w:r>
      <w:r>
        <w:t xml:space="preserve"> These fees can be adjusted and expanded at the discretion of ICANN. For example, ICANN could decide to increase the fees it charges, expand the fee to an annual </w:t>
      </w:r>
      <w:r w:rsidR="006B65B7">
        <w:t>or monthly license</w:t>
      </w:r>
      <w:r w:rsidR="006B65B7">
        <w:t xml:space="preserve"> </w:t>
      </w:r>
      <w:r>
        <w:t xml:space="preserve">fee instead of a per-transaction fee, or </w:t>
      </w:r>
      <w:r w:rsidR="008C1E9F">
        <w:t>create new fees for other resources it manages such as IP addresses.</w:t>
      </w:r>
      <w:r w:rsidR="00590E22">
        <w:t xml:space="preserve"> ICANN has a conflict of interest in pursuing the global public interest since its own financial interests are at odds with keeping costs down for Internet users and businesses.</w:t>
      </w:r>
      <w:r w:rsidR="00052F9C">
        <w:t xml:space="preserve"> </w:t>
      </w:r>
      <w:r w:rsidR="00A82C5C">
        <w:t xml:space="preserve">It is </w:t>
      </w:r>
      <w:r w:rsidR="00CC0F49">
        <w:t xml:space="preserve">natural </w:t>
      </w:r>
      <w:r w:rsidR="00A82C5C">
        <w:t>for organization</w:t>
      </w:r>
      <w:r w:rsidR="00CC0F49">
        <w:t>s</w:t>
      </w:r>
      <w:r w:rsidR="00A82C5C">
        <w:t xml:space="preserve"> to want larger budget</w:t>
      </w:r>
      <w:r w:rsidR="00CC0F49">
        <w:t>s</w:t>
      </w:r>
      <w:r w:rsidR="00A82C5C">
        <w:t xml:space="preserve">, but ICANN is in an unusual position in that </w:t>
      </w:r>
      <w:r w:rsidR="00375147">
        <w:t xml:space="preserve">it </w:t>
      </w:r>
      <w:r w:rsidR="002B31D9">
        <w:t xml:space="preserve">could raise </w:t>
      </w:r>
      <w:r w:rsidR="00A82C5C">
        <w:t>a substantial amount of additional revenue</w:t>
      </w:r>
      <w:r w:rsidR="002B31D9">
        <w:t xml:space="preserve"> with little accountability</w:t>
      </w:r>
      <w:r w:rsidR="00A82C5C">
        <w:t xml:space="preserve">. </w:t>
      </w:r>
      <w:r w:rsidR="005928E1">
        <w:t xml:space="preserve">Already, ICANN has shown its appetite for more funding. </w:t>
      </w:r>
      <w:r w:rsidR="007B7551">
        <w:t xml:space="preserve">In the decade from 2003 to 2012, ICANN’s annual revenue grew ten-fold from under $6 million to over $70 million. </w:t>
      </w:r>
      <w:r w:rsidR="005928E1">
        <w:t xml:space="preserve">And then </w:t>
      </w:r>
      <w:r w:rsidR="007B7551">
        <w:t>between 2012 and 2013, ICANN’s revenue tripled to over $230 million as the organization expanded the number of top-level domains.</w:t>
      </w:r>
      <w:r w:rsidR="006B5C3B">
        <w:t xml:space="preserve"> </w:t>
      </w:r>
      <w:r w:rsidR="00491A99">
        <w:t xml:space="preserve">Moreover, some countries could look to </w:t>
      </w:r>
      <w:r w:rsidR="006B5C3B">
        <w:t>ICANN</w:t>
      </w:r>
      <w:r w:rsidR="00101913">
        <w:t>’s</w:t>
      </w:r>
      <w:r w:rsidR="00491A99">
        <w:t xml:space="preserve"> ability to extract money from the Internet ecosystem</w:t>
      </w:r>
      <w:r w:rsidR="006B5C3B">
        <w:t xml:space="preserve"> </w:t>
      </w:r>
      <w:r w:rsidR="00491A99">
        <w:t xml:space="preserve">to fund other projects such as </w:t>
      </w:r>
      <w:r w:rsidR="00491A99">
        <w:lastRenderedPageBreak/>
        <w:t xml:space="preserve">broadband connectivity, digital literacy, or access to computers. </w:t>
      </w:r>
      <w:r w:rsidR="00E1619F">
        <w:t xml:space="preserve">These </w:t>
      </w:r>
      <w:r w:rsidR="00EB12E6">
        <w:t xml:space="preserve">types of </w:t>
      </w:r>
      <w:r w:rsidR="00E1619F">
        <w:t xml:space="preserve">projects </w:t>
      </w:r>
      <w:r w:rsidR="00EB12E6">
        <w:t xml:space="preserve">may </w:t>
      </w:r>
      <w:r w:rsidR="00E1619F">
        <w:t>have broad appeal, but it would not be useful to create a global organization with the ability to effectively tax the Internet with no safeguards in place</w:t>
      </w:r>
      <w:r w:rsidR="00F25A2E">
        <w:t xml:space="preserve"> to limit its authority</w:t>
      </w:r>
      <w:r w:rsidR="00E1619F">
        <w:t xml:space="preserve">. </w:t>
      </w:r>
    </w:p>
    <w:p w:rsidR="00C041B9" w:rsidRDefault="00F25A2E" w:rsidP="00C041B9">
      <w:pPr>
        <w:ind w:firstLine="720"/>
      </w:pPr>
      <w:r>
        <w:t>Finally, w</w:t>
      </w:r>
      <w:r w:rsidR="005F571A">
        <w:t>hile the proposal to transition governance of the DNS to a multi</w:t>
      </w:r>
      <w:r w:rsidR="00CC0F49">
        <w:t>-</w:t>
      </w:r>
      <w:r w:rsidR="005F571A">
        <w:t xml:space="preserve">stakeholder organization </w:t>
      </w:r>
      <w:r w:rsidR="00230B92">
        <w:t xml:space="preserve">like ICANN </w:t>
      </w:r>
      <w:r w:rsidR="005F571A">
        <w:t xml:space="preserve">is vastly superior to </w:t>
      </w:r>
      <w:r w:rsidR="00C041B9">
        <w:t xml:space="preserve">some alternatives, such as ceding control of these functions </w:t>
      </w:r>
      <w:r w:rsidR="005F571A">
        <w:t xml:space="preserve">to a multi-lateral governmental organization like the </w:t>
      </w:r>
      <w:r w:rsidR="009F6F49" w:rsidRPr="009F6F49">
        <w:t>International Telecommunication Union</w:t>
      </w:r>
      <w:r w:rsidR="009F6F49">
        <w:t xml:space="preserve"> (ITU)</w:t>
      </w:r>
      <w:r w:rsidR="005F571A">
        <w:t xml:space="preserve">, as some nations have proposed, giving up </w:t>
      </w:r>
      <w:r w:rsidR="00C041B9">
        <w:t xml:space="preserve">U.S. </w:t>
      </w:r>
      <w:r w:rsidR="005F571A">
        <w:t xml:space="preserve">oversight </w:t>
      </w:r>
      <w:r w:rsidR="00C041B9">
        <w:t xml:space="preserve">creates an uncertain future for the Internet. </w:t>
      </w:r>
      <w:r w:rsidR="005F571A">
        <w:t xml:space="preserve"> </w:t>
      </w:r>
      <w:r w:rsidR="00C041B9">
        <w:t>The primary problem is that the existing governance structure of ICANN, as with any organization, is not permanent</w:t>
      </w:r>
      <w:r w:rsidR="00C45FF6">
        <w:t xml:space="preserve"> and can easily be restructured in the future. W</w:t>
      </w:r>
      <w:r w:rsidR="00C041B9">
        <w:t xml:space="preserve">ithout the U.S. government serving as a backstop, it may very well devolve into something resembling the United Nations. </w:t>
      </w:r>
      <w:r w:rsidR="00672332">
        <w:t xml:space="preserve">Congress should be aware that a </w:t>
      </w:r>
      <w:r w:rsidR="00C041B9">
        <w:t>UN-style takeover of the Internet could happen even within ICANN</w:t>
      </w:r>
      <w:r w:rsidR="00CC0F49">
        <w:t xml:space="preserve"> if the advisory role that governments have today later becomes one of outright control</w:t>
      </w:r>
      <w:r w:rsidR="00C041B9">
        <w:t>.</w:t>
      </w:r>
    </w:p>
    <w:p w:rsidR="00230B92" w:rsidRPr="00F25A2E" w:rsidRDefault="00A24C5D" w:rsidP="00F25A2E">
      <w:pPr>
        <w:rPr>
          <w:b/>
        </w:rPr>
      </w:pPr>
      <w:r>
        <w:rPr>
          <w:b/>
        </w:rPr>
        <w:t>The U.S. Government Should Work to Identify</w:t>
      </w:r>
      <w:r w:rsidR="00B12DDC">
        <w:rPr>
          <w:b/>
        </w:rPr>
        <w:t xml:space="preserve"> and Mitigate</w:t>
      </w:r>
      <w:r>
        <w:rPr>
          <w:b/>
        </w:rPr>
        <w:t xml:space="preserve"> </w:t>
      </w:r>
      <w:r w:rsidR="00EF310F">
        <w:rPr>
          <w:b/>
        </w:rPr>
        <w:t xml:space="preserve">Risks </w:t>
      </w:r>
      <w:r w:rsidR="00F25A2E" w:rsidRPr="00F25A2E">
        <w:rPr>
          <w:b/>
        </w:rPr>
        <w:t xml:space="preserve">Moving Forward </w:t>
      </w:r>
    </w:p>
    <w:p w:rsidR="006A06BE" w:rsidRDefault="009D1E57" w:rsidP="00B12DDC">
      <w:pPr>
        <w:ind w:firstLine="720"/>
      </w:pPr>
      <w:r>
        <w:t xml:space="preserve">Given the significant impact that this transition </w:t>
      </w:r>
      <w:r w:rsidR="00CC0F49">
        <w:t>could</w:t>
      </w:r>
      <w:r>
        <w:t xml:space="preserve"> have on the future of the Internet, it is critical for Congress to be actively engaged on this issue. </w:t>
      </w:r>
      <w:r w:rsidR="00BB7096">
        <w:t xml:space="preserve">The </w:t>
      </w:r>
      <w:r w:rsidR="00250C0E">
        <w:t xml:space="preserve">final </w:t>
      </w:r>
      <w:r w:rsidR="00BB7096">
        <w:t xml:space="preserve">decision to </w:t>
      </w:r>
      <w:r w:rsidR="00250C0E">
        <w:t xml:space="preserve">relinquish this oversight should only occur if there is </w:t>
      </w:r>
      <w:r w:rsidR="008B4C92">
        <w:t xml:space="preserve">consensus for a transition in both Congress and the </w:t>
      </w:r>
      <w:r w:rsidR="00CC0F49">
        <w:t>A</w:t>
      </w:r>
      <w:r w:rsidR="008B4C92">
        <w:t>dministration.</w:t>
      </w:r>
      <w:r w:rsidR="00250C0E">
        <w:t xml:space="preserve"> </w:t>
      </w:r>
      <w:r w:rsidR="00FE4EEE">
        <w:t>If the NTIA pursue</w:t>
      </w:r>
      <w:r w:rsidR="005D28C3">
        <w:t>s</w:t>
      </w:r>
      <w:r w:rsidR="00FE4EEE">
        <w:t xml:space="preserve"> this transition, it has </w:t>
      </w:r>
      <w:r w:rsidR="005D28C3">
        <w:t xml:space="preserve">only </w:t>
      </w:r>
      <w:r w:rsidR="00FE4EEE">
        <w:t>one opportunity to get it right—there are no second chances. Therefore, Congress, through the Government Accountability Office, should work closely with the NTIA and other stakeholders to identify potential risks involved in this transition, including “worst case” scenarios</w:t>
      </w:r>
      <w:r w:rsidR="005D28C3">
        <w:t>, as well as opportunities to mitigate those risks</w:t>
      </w:r>
      <w:r w:rsidR="00FE4EEE">
        <w:t xml:space="preserve">. </w:t>
      </w:r>
      <w:r w:rsidR="00B12DDC">
        <w:t xml:space="preserve">The </w:t>
      </w:r>
      <w:r w:rsidR="00FE4EEE">
        <w:t xml:space="preserve">NTIA should then be </w:t>
      </w:r>
      <w:r w:rsidR="00422D5D">
        <w:t xml:space="preserve">required </w:t>
      </w:r>
      <w:r w:rsidR="00FE4EEE">
        <w:t xml:space="preserve">to explain </w:t>
      </w:r>
      <w:r w:rsidR="00793BC6">
        <w:t xml:space="preserve">to Congress </w:t>
      </w:r>
      <w:r w:rsidR="00FE4EEE">
        <w:t xml:space="preserve">how any proposal it finds </w:t>
      </w:r>
      <w:r w:rsidR="00FE4EEE">
        <w:lastRenderedPageBreak/>
        <w:t xml:space="preserve">acceptable would successfully </w:t>
      </w:r>
      <w:r w:rsidR="00422D5D">
        <w:t xml:space="preserve">avoid </w:t>
      </w:r>
      <w:r w:rsidR="00FE4EEE">
        <w:t>the threats</w:t>
      </w:r>
      <w:r w:rsidR="00422D5D">
        <w:t xml:space="preserve"> identified</w:t>
      </w:r>
      <w:r w:rsidR="003F4EBC">
        <w:t xml:space="preserve"> by stakeholders</w:t>
      </w:r>
      <w:r w:rsidR="00FE4EEE">
        <w:t xml:space="preserve">. </w:t>
      </w:r>
      <w:r w:rsidR="00CC0F49">
        <w:t xml:space="preserve">And importantly, the NTIA should be required to explain not just how their plan mitigates first-order risks in the proposed plan, but also second-order risks of how ICANN could change after the U.S. government relinquishes its oversight. </w:t>
      </w:r>
      <w:r w:rsidR="00FE4EEE">
        <w:t xml:space="preserve">Developing these scenarios will also help </w:t>
      </w:r>
      <w:r w:rsidR="00B12DDC">
        <w:t xml:space="preserve">the </w:t>
      </w:r>
      <w:r w:rsidR="00FE4EEE">
        <w:t>NTIA move from broad principles to detailed criteria for how</w:t>
      </w:r>
      <w:r w:rsidR="00CC0F49">
        <w:t xml:space="preserve"> it will evaluate any proposal. </w:t>
      </w:r>
    </w:p>
    <w:p w:rsidR="006A06BE" w:rsidRDefault="006A06BE" w:rsidP="006A06BE">
      <w:r>
        <w:rPr>
          <w:b/>
        </w:rPr>
        <w:t>Conclusion</w:t>
      </w:r>
    </w:p>
    <w:p w:rsidR="005F571A" w:rsidRDefault="006A06BE" w:rsidP="00FE4EEE">
      <w:pPr>
        <w:ind w:firstLine="720"/>
      </w:pPr>
      <w:r>
        <w:t xml:space="preserve">The future of Internet governance is at a crossroads. The transition away from U.S. oversight will create unique risks and challenges for Internet governance, many of which we may not be able to anticipate today. </w:t>
      </w:r>
      <w:r w:rsidR="00FE4EEE" w:rsidRPr="009F6F49">
        <w:t xml:space="preserve">Without the current oversight by the United States, ICANN would not be accountable to anyone and would be motivated only by the interests of those individuals who control the organization. Such a change </w:t>
      </w:r>
      <w:r w:rsidR="00802E0A">
        <w:t xml:space="preserve">may </w:t>
      </w:r>
      <w:r w:rsidR="00FE4EEE" w:rsidRPr="009F6F49">
        <w:t xml:space="preserve">not bode well for </w:t>
      </w:r>
      <w:r w:rsidR="00FE4EEE">
        <w:t>the principles supported by the United States and its allies</w:t>
      </w:r>
      <w:r w:rsidR="00FE4EEE" w:rsidRPr="009F6F49">
        <w:t>.</w:t>
      </w:r>
      <w:r w:rsidR="00FE4EEE">
        <w:t xml:space="preserve"> </w:t>
      </w:r>
      <w:r>
        <w:t xml:space="preserve">While the initial principles for the transition outlined by the NTIA are a good first step, Congress should exercise its own authority to demand a more detailed set of criteria that must be met before any transition plan is accepted. </w:t>
      </w:r>
      <w:r w:rsidRPr="00053BA2">
        <w:t xml:space="preserve">Thank you for the opportunity to share with you my thoughts on </w:t>
      </w:r>
      <w:r>
        <w:t>the proposed transition</w:t>
      </w:r>
      <w:r w:rsidRPr="00053BA2">
        <w:t>. I look forward to answering any questions you have.</w:t>
      </w:r>
    </w:p>
    <w:p w:rsidR="00EB12E6" w:rsidRDefault="00EB12E6">
      <w:pPr>
        <w:spacing w:line="276" w:lineRule="auto"/>
        <w:rPr>
          <w:b/>
        </w:rPr>
      </w:pPr>
      <w:r>
        <w:rPr>
          <w:b/>
        </w:rPr>
        <w:br w:type="page"/>
      </w:r>
    </w:p>
    <w:p w:rsidR="008B7BB2" w:rsidRPr="00053BA2" w:rsidRDefault="00562366" w:rsidP="00562366">
      <w:pPr>
        <w:rPr>
          <w:b/>
        </w:rPr>
      </w:pPr>
      <w:r w:rsidRPr="00053BA2">
        <w:rPr>
          <w:b/>
        </w:rPr>
        <w:lastRenderedPageBreak/>
        <w:t>Endnotes</w:t>
      </w:r>
    </w:p>
    <w:sectPr w:rsidR="008B7BB2" w:rsidRPr="00053BA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500" w:rsidRDefault="00F33500" w:rsidP="00500876">
      <w:r>
        <w:separator/>
      </w:r>
    </w:p>
  </w:endnote>
  <w:endnote w:type="continuationSeparator" w:id="0">
    <w:p w:rsidR="00F33500" w:rsidRDefault="00F33500" w:rsidP="00500876">
      <w:r>
        <w:continuationSeparator/>
      </w:r>
    </w:p>
  </w:endnote>
  <w:endnote w:id="1">
    <w:p w:rsidR="00E56965" w:rsidRPr="000E6DF0" w:rsidRDefault="00E56965" w:rsidP="001A25BF">
      <w:pPr>
        <w:pStyle w:val="EndnoteText"/>
        <w:spacing w:after="200"/>
      </w:pPr>
      <w:r w:rsidRPr="000E6DF0">
        <w:rPr>
          <w:rStyle w:val="EndnoteReference"/>
          <w:color w:val="auto"/>
          <w:vertAlign w:val="baseline"/>
        </w:rPr>
        <w:endnoteRef/>
      </w:r>
      <w:r w:rsidR="00802E0A" w:rsidRPr="000E6DF0">
        <w:t>.</w:t>
      </w:r>
      <w:r w:rsidRPr="000E6DF0">
        <w:t xml:space="preserve"> </w:t>
      </w:r>
      <w:r w:rsidR="00802E0A" w:rsidRPr="000E6DF0">
        <w:tab/>
        <w:t>“</w:t>
      </w:r>
      <w:r w:rsidRPr="000E6DF0">
        <w:t>A Framework for Global Electronic Commerce,</w:t>
      </w:r>
      <w:r w:rsidR="00802E0A" w:rsidRPr="000E6DF0">
        <w:t>”</w:t>
      </w:r>
      <w:r w:rsidRPr="000E6DF0">
        <w:t xml:space="preserve"> The White House, July 1, 1997. </w:t>
      </w:r>
      <w:hyperlink r:id="rId1" w:history="1">
        <w:r w:rsidRPr="000E6DF0">
          <w:rPr>
            <w:rStyle w:val="Hyperlink"/>
            <w:color w:val="auto"/>
            <w:u w:val="none"/>
          </w:rPr>
          <w:t>https://www.fas.org/irp/offdocs/pdd-nec-ec.htm</w:t>
        </w:r>
      </w:hyperlink>
      <w:r w:rsidR="00802E0A" w:rsidRPr="000E6DF0">
        <w:rPr>
          <w:rStyle w:val="Hyperlink"/>
          <w:color w:val="auto"/>
          <w:u w:val="none"/>
        </w:rPr>
        <w:t>.</w:t>
      </w:r>
      <w:r w:rsidRPr="000E6DF0">
        <w:t xml:space="preserve"> </w:t>
      </w:r>
    </w:p>
  </w:endnote>
  <w:endnote w:id="2">
    <w:p w:rsidR="00F52F64" w:rsidRPr="000E6DF0" w:rsidRDefault="00F52F64" w:rsidP="001A25BF">
      <w:pPr>
        <w:pStyle w:val="EndnoteText"/>
        <w:spacing w:after="200"/>
      </w:pPr>
      <w:r w:rsidRPr="000E6DF0">
        <w:rPr>
          <w:rStyle w:val="EndnoteReference"/>
          <w:vertAlign w:val="baseline"/>
        </w:rPr>
        <w:endnoteRef/>
      </w:r>
      <w:r w:rsidR="00802E0A" w:rsidRPr="000E6DF0">
        <w:t>.</w:t>
      </w:r>
      <w:r w:rsidRPr="000E6DF0">
        <w:t xml:space="preserve"> </w:t>
      </w:r>
      <w:r w:rsidR="00802E0A" w:rsidRPr="000E6DF0">
        <w:tab/>
      </w:r>
      <w:proofErr w:type="gramStart"/>
      <w:r w:rsidRPr="000E6DF0">
        <w:t>“Statement of Policy on the Management of Internet Names and Addresses</w:t>
      </w:r>
      <w:r w:rsidR="00802E0A" w:rsidRPr="000E6DF0">
        <w:t>,</w:t>
      </w:r>
      <w:r w:rsidRPr="000E6DF0">
        <w:t>”</w:t>
      </w:r>
      <w:r w:rsidR="00802E0A" w:rsidRPr="000E6DF0">
        <w:t xml:space="preserve"> </w:t>
      </w:r>
      <w:r w:rsidR="000E6DF0" w:rsidRPr="000E6DF0">
        <w:t>National Telecommunications and Information Administration,</w:t>
      </w:r>
      <w:r w:rsidRPr="000E6DF0">
        <w:t xml:space="preserve"> </w:t>
      </w:r>
      <w:r w:rsidR="00802E0A" w:rsidRPr="000E6DF0">
        <w:t xml:space="preserve">June 5, 1998, </w:t>
      </w:r>
      <w:r w:rsidRPr="000E6DF0">
        <w:t>http://www.ntia.doc.gov/federal-register-notice/1998/statement-policy-management-internet-names-and-addresses</w:t>
      </w:r>
      <w:r w:rsidR="00802E0A" w:rsidRPr="000E6DF0">
        <w:t>.</w:t>
      </w:r>
      <w:proofErr w:type="gramEnd"/>
    </w:p>
  </w:endnote>
  <w:endnote w:id="3">
    <w:p w:rsidR="00E56965" w:rsidRPr="000E6DF0" w:rsidRDefault="00E56965" w:rsidP="001A25BF">
      <w:pPr>
        <w:pStyle w:val="EndnoteText"/>
        <w:spacing w:after="200"/>
      </w:pPr>
      <w:r w:rsidRPr="000E6DF0">
        <w:rPr>
          <w:rStyle w:val="EndnoteReference"/>
          <w:color w:val="auto"/>
          <w:vertAlign w:val="baseline"/>
        </w:rPr>
        <w:endnoteRef/>
      </w:r>
      <w:r w:rsidR="00802E0A" w:rsidRPr="000E6DF0">
        <w:t>.</w:t>
      </w:r>
      <w:r w:rsidRPr="000E6DF0">
        <w:t xml:space="preserve"> </w:t>
      </w:r>
      <w:r w:rsidR="00802E0A" w:rsidRPr="000E6DF0">
        <w:tab/>
      </w:r>
      <w:r w:rsidRPr="000E6DF0">
        <w:t>Ibid.</w:t>
      </w:r>
    </w:p>
  </w:endnote>
  <w:endnote w:id="4">
    <w:p w:rsidR="00BD2710" w:rsidRPr="000E6DF0" w:rsidRDefault="00BD2710" w:rsidP="001A25BF">
      <w:pPr>
        <w:pStyle w:val="EndnoteText"/>
        <w:spacing w:after="200"/>
      </w:pPr>
      <w:r w:rsidRPr="000E6DF0">
        <w:rPr>
          <w:rStyle w:val="EndnoteReference"/>
          <w:vertAlign w:val="baseline"/>
        </w:rPr>
        <w:endnoteRef/>
      </w:r>
      <w:r w:rsidR="00802E0A" w:rsidRPr="000E6DF0">
        <w:t>.</w:t>
      </w:r>
      <w:r w:rsidRPr="000E6DF0">
        <w:t xml:space="preserve"> </w:t>
      </w:r>
      <w:proofErr w:type="gramStart"/>
      <w:r w:rsidR="00802E0A" w:rsidRPr="000E6DF0">
        <w:t xml:space="preserve">“NTIA Announces Intent to Transition Key Internet Domain Name Functions,” </w:t>
      </w:r>
      <w:r w:rsidR="000E6DF0" w:rsidRPr="000E6DF0">
        <w:t xml:space="preserve">National Telecommunications and Information Administration, March 14, 2014, </w:t>
      </w:r>
      <w:r w:rsidRPr="000E6DF0">
        <w:t>http://www.ntia.doc.gov/press-release/2014/ntia-announces-intent-transition-key-internet-domain-name-functions</w:t>
      </w:r>
      <w:r w:rsidR="000E6DF0" w:rsidRPr="000E6DF0">
        <w:t>.</w:t>
      </w:r>
      <w:proofErr w:type="gramEnd"/>
    </w:p>
  </w:endnote>
  <w:endnote w:id="5">
    <w:p w:rsidR="00C22D2A" w:rsidRPr="000E6DF0" w:rsidRDefault="00C22D2A" w:rsidP="001A25BF">
      <w:pPr>
        <w:pStyle w:val="EndnoteText"/>
        <w:spacing w:after="200"/>
      </w:pPr>
      <w:r w:rsidRPr="000E6DF0">
        <w:rPr>
          <w:rStyle w:val="EndnoteReference"/>
          <w:vertAlign w:val="baseline"/>
        </w:rPr>
        <w:endnoteRef/>
      </w:r>
      <w:r w:rsidR="00802E0A" w:rsidRPr="000E6DF0">
        <w:t>.</w:t>
      </w:r>
      <w:r w:rsidRPr="000E6DF0">
        <w:t xml:space="preserve"> </w:t>
      </w:r>
      <w:proofErr w:type="gramStart"/>
      <w:r w:rsidR="000E6DF0">
        <w:t xml:space="preserve">“Affirmation of Commitments by the United States Department of Commerce and the Internet Corporation for Assigned Names and Numbers,” September 30, 2014, </w:t>
      </w:r>
      <w:r w:rsidRPr="000E6DF0">
        <w:t>http://www.ntia.doc.gov/files/ntia/publications/affirmation_of_commitments_2009.pdf</w:t>
      </w:r>
      <w:r w:rsidR="000E6DF0">
        <w:t>.</w:t>
      </w:r>
      <w:proofErr w:type="gramEnd"/>
    </w:p>
  </w:endnote>
  <w:endnote w:id="6">
    <w:p w:rsidR="00F74118" w:rsidRPr="000E6DF0" w:rsidRDefault="00F74118" w:rsidP="001A25BF">
      <w:pPr>
        <w:pStyle w:val="EndnoteText"/>
        <w:spacing w:after="200"/>
      </w:pPr>
      <w:r w:rsidRPr="000E6DF0">
        <w:rPr>
          <w:rStyle w:val="EndnoteReference"/>
          <w:vertAlign w:val="baseline"/>
        </w:rPr>
        <w:endnoteRef/>
      </w:r>
      <w:r>
        <w:t>.</w:t>
      </w:r>
      <w:r w:rsidRPr="000E6DF0">
        <w:t xml:space="preserve"> </w:t>
      </w:r>
      <w:proofErr w:type="gramStart"/>
      <w:r>
        <w:t>“</w:t>
      </w:r>
      <w:r w:rsidRPr="000E6DF0">
        <w:t>Commerce Department Awards Contract for Management of Key Internet Functions to ICANN</w:t>
      </w:r>
      <w:r>
        <w:t>,”</w:t>
      </w:r>
      <w:r w:rsidRPr="000E6DF0">
        <w:t xml:space="preserve"> National Telecommunications and Information Administration, </w:t>
      </w:r>
      <w:r>
        <w:t xml:space="preserve">July 2, 2012, </w:t>
      </w:r>
      <w:r w:rsidRPr="000E6DF0">
        <w:t>http://www.ntia.doc.gov/press-release/2012/commerce-department-awards-contract-management-key-internet-functions-icann</w:t>
      </w:r>
      <w:r>
        <w:t>.</w:t>
      </w:r>
      <w:proofErr w:type="gramEnd"/>
    </w:p>
  </w:endnote>
  <w:endnote w:id="7">
    <w:p w:rsidR="0021598E" w:rsidRPr="000E6DF0" w:rsidRDefault="0021598E" w:rsidP="001A25BF">
      <w:pPr>
        <w:pStyle w:val="EndnoteText"/>
        <w:spacing w:after="200"/>
      </w:pPr>
      <w:r w:rsidRPr="000E6DF0">
        <w:rPr>
          <w:rStyle w:val="EndnoteReference"/>
          <w:vertAlign w:val="baseline"/>
        </w:rPr>
        <w:endnoteRef/>
      </w:r>
      <w:r w:rsidR="00802E0A" w:rsidRPr="000E6DF0">
        <w:t>.</w:t>
      </w:r>
      <w:r w:rsidRPr="000E6DF0">
        <w:t xml:space="preserve"> </w:t>
      </w:r>
      <w:r w:rsidR="00802E0A" w:rsidRPr="000E6DF0">
        <w:tab/>
      </w:r>
      <w:r w:rsidRPr="000E6DF0">
        <w:t xml:space="preserve">ICANN receives </w:t>
      </w:r>
      <w:r w:rsidR="000E6DF0">
        <w:t xml:space="preserve">either </w:t>
      </w:r>
      <w:r w:rsidRPr="000E6DF0">
        <w:t xml:space="preserve">$0.18 or $0.20 from registrars providing services for current TLDs. </w:t>
      </w:r>
      <w:r w:rsidR="000E6DF0">
        <w:t xml:space="preserve">See “FY14 Budget Approval,” ICANN, August 22, 2013, </w:t>
      </w:r>
      <w:r w:rsidR="000E6DF0" w:rsidRPr="000E6DF0">
        <w:t>http://www.icann.org/en/about/financials/adopted-opplan-budget-fy14-22aug13-en.pdf</w:t>
      </w:r>
      <w:r w:rsidR="000E6DF0">
        <w:t>. R</w:t>
      </w:r>
      <w:r w:rsidRPr="000E6DF0">
        <w:t xml:space="preserve">egistrars providing services for the new </w:t>
      </w:r>
      <w:proofErr w:type="spellStart"/>
      <w:r w:rsidRPr="000E6DF0">
        <w:t>gTLDs</w:t>
      </w:r>
      <w:proofErr w:type="spellEnd"/>
      <w:r w:rsidRPr="000E6DF0">
        <w:t xml:space="preserve"> are assessed a $0.25 fee. </w:t>
      </w:r>
      <w:r w:rsidR="000E6DF0">
        <w:t xml:space="preserve">See: “Frequently Asked Questions,” ICANN, 2014, </w:t>
      </w:r>
      <w:r w:rsidRPr="000E6DF0">
        <w:t>http://newgtlds.icann.org/en/applicants/customer-service/faqs/faqs-en</w:t>
      </w:r>
      <w:r w:rsidR="000E6DF0">
        <w:t>.</w:t>
      </w:r>
      <w:r w:rsidRPr="000E6DF0">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500" w:rsidRDefault="00F33500" w:rsidP="00500876">
      <w:r>
        <w:separator/>
      </w:r>
    </w:p>
  </w:footnote>
  <w:footnote w:type="continuationSeparator" w:id="0">
    <w:p w:rsidR="00F33500" w:rsidRDefault="00F33500" w:rsidP="00500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1B00"/>
    <w:multiLevelType w:val="hybridMultilevel"/>
    <w:tmpl w:val="B15E0722"/>
    <w:lvl w:ilvl="0" w:tplc="18EEAD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D00D31"/>
    <w:multiLevelType w:val="hybridMultilevel"/>
    <w:tmpl w:val="78F02BD0"/>
    <w:lvl w:ilvl="0" w:tplc="76700510">
      <w:start w:val="201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01"/>
    <w:rsid w:val="00012638"/>
    <w:rsid w:val="000156E5"/>
    <w:rsid w:val="0003543B"/>
    <w:rsid w:val="00042600"/>
    <w:rsid w:val="00045129"/>
    <w:rsid w:val="00052F9C"/>
    <w:rsid w:val="00053183"/>
    <w:rsid w:val="00053BA2"/>
    <w:rsid w:val="00056CE9"/>
    <w:rsid w:val="00057F1F"/>
    <w:rsid w:val="00061138"/>
    <w:rsid w:val="00085002"/>
    <w:rsid w:val="00096121"/>
    <w:rsid w:val="000A2619"/>
    <w:rsid w:val="000B4A57"/>
    <w:rsid w:val="000C34D8"/>
    <w:rsid w:val="000D5843"/>
    <w:rsid w:val="000E6DF0"/>
    <w:rsid w:val="000E74EE"/>
    <w:rsid w:val="000F70E8"/>
    <w:rsid w:val="00101688"/>
    <w:rsid w:val="00101913"/>
    <w:rsid w:val="00103E3C"/>
    <w:rsid w:val="00104267"/>
    <w:rsid w:val="001042D7"/>
    <w:rsid w:val="001111E2"/>
    <w:rsid w:val="001167C5"/>
    <w:rsid w:val="001224FC"/>
    <w:rsid w:val="00130769"/>
    <w:rsid w:val="00133502"/>
    <w:rsid w:val="00134E55"/>
    <w:rsid w:val="00136752"/>
    <w:rsid w:val="00172A31"/>
    <w:rsid w:val="00172D75"/>
    <w:rsid w:val="00182C40"/>
    <w:rsid w:val="00183D96"/>
    <w:rsid w:val="00187356"/>
    <w:rsid w:val="00192B7C"/>
    <w:rsid w:val="001A25BF"/>
    <w:rsid w:val="001A6EFA"/>
    <w:rsid w:val="00201D11"/>
    <w:rsid w:val="00202ECB"/>
    <w:rsid w:val="00204624"/>
    <w:rsid w:val="0020665C"/>
    <w:rsid w:val="0021598E"/>
    <w:rsid w:val="00217A5F"/>
    <w:rsid w:val="0022027D"/>
    <w:rsid w:val="0022470F"/>
    <w:rsid w:val="00230B92"/>
    <w:rsid w:val="00250C0E"/>
    <w:rsid w:val="00251825"/>
    <w:rsid w:val="00252A4F"/>
    <w:rsid w:val="0025533F"/>
    <w:rsid w:val="002553BD"/>
    <w:rsid w:val="00281A7A"/>
    <w:rsid w:val="00281C95"/>
    <w:rsid w:val="00286563"/>
    <w:rsid w:val="002B1CCD"/>
    <w:rsid w:val="002B1EA5"/>
    <w:rsid w:val="002B31D9"/>
    <w:rsid w:val="002B32BB"/>
    <w:rsid w:val="002C5F2B"/>
    <w:rsid w:val="002C6E85"/>
    <w:rsid w:val="002E3721"/>
    <w:rsid w:val="002E4212"/>
    <w:rsid w:val="002E621C"/>
    <w:rsid w:val="002E7268"/>
    <w:rsid w:val="002F7FBB"/>
    <w:rsid w:val="00314E75"/>
    <w:rsid w:val="0032442C"/>
    <w:rsid w:val="0032652E"/>
    <w:rsid w:val="00336421"/>
    <w:rsid w:val="0034342E"/>
    <w:rsid w:val="00344625"/>
    <w:rsid w:val="003455AF"/>
    <w:rsid w:val="003473A3"/>
    <w:rsid w:val="00353D8D"/>
    <w:rsid w:val="00356550"/>
    <w:rsid w:val="00360E12"/>
    <w:rsid w:val="00366017"/>
    <w:rsid w:val="00375147"/>
    <w:rsid w:val="00391ED9"/>
    <w:rsid w:val="00395170"/>
    <w:rsid w:val="003A6719"/>
    <w:rsid w:val="003B2273"/>
    <w:rsid w:val="003C413A"/>
    <w:rsid w:val="003C58F5"/>
    <w:rsid w:val="003D0D5C"/>
    <w:rsid w:val="003D1612"/>
    <w:rsid w:val="003D320A"/>
    <w:rsid w:val="003E4072"/>
    <w:rsid w:val="003F0CB9"/>
    <w:rsid w:val="003F4EBC"/>
    <w:rsid w:val="00405A30"/>
    <w:rsid w:val="00412D01"/>
    <w:rsid w:val="0041568A"/>
    <w:rsid w:val="004215E6"/>
    <w:rsid w:val="00422D5D"/>
    <w:rsid w:val="00430994"/>
    <w:rsid w:val="004439C6"/>
    <w:rsid w:val="00446913"/>
    <w:rsid w:val="00452533"/>
    <w:rsid w:val="00453BA8"/>
    <w:rsid w:val="00462C1B"/>
    <w:rsid w:val="0046533D"/>
    <w:rsid w:val="0047084D"/>
    <w:rsid w:val="00473B3D"/>
    <w:rsid w:val="004764C7"/>
    <w:rsid w:val="00476569"/>
    <w:rsid w:val="00477AC4"/>
    <w:rsid w:val="00480F8E"/>
    <w:rsid w:val="0048272F"/>
    <w:rsid w:val="00485D15"/>
    <w:rsid w:val="00491A99"/>
    <w:rsid w:val="004969B5"/>
    <w:rsid w:val="004B6ABF"/>
    <w:rsid w:val="004D0FF7"/>
    <w:rsid w:val="004E1CBF"/>
    <w:rsid w:val="004F5303"/>
    <w:rsid w:val="00500876"/>
    <w:rsid w:val="00507997"/>
    <w:rsid w:val="0053106F"/>
    <w:rsid w:val="005368C6"/>
    <w:rsid w:val="0054315E"/>
    <w:rsid w:val="00562366"/>
    <w:rsid w:val="005656F8"/>
    <w:rsid w:val="00574565"/>
    <w:rsid w:val="00580A68"/>
    <w:rsid w:val="005822AA"/>
    <w:rsid w:val="00584510"/>
    <w:rsid w:val="00587E85"/>
    <w:rsid w:val="00590E22"/>
    <w:rsid w:val="005928E1"/>
    <w:rsid w:val="00593981"/>
    <w:rsid w:val="00597C4C"/>
    <w:rsid w:val="005A4ED9"/>
    <w:rsid w:val="005C705C"/>
    <w:rsid w:val="005D0D80"/>
    <w:rsid w:val="005D28C3"/>
    <w:rsid w:val="005E0E7B"/>
    <w:rsid w:val="005F0C63"/>
    <w:rsid w:val="005F4AB5"/>
    <w:rsid w:val="005F571A"/>
    <w:rsid w:val="00601189"/>
    <w:rsid w:val="00601E53"/>
    <w:rsid w:val="00611CF7"/>
    <w:rsid w:val="00622D39"/>
    <w:rsid w:val="00631805"/>
    <w:rsid w:val="00631C63"/>
    <w:rsid w:val="006339F4"/>
    <w:rsid w:val="00640EE5"/>
    <w:rsid w:val="00643E54"/>
    <w:rsid w:val="006460B6"/>
    <w:rsid w:val="006463BF"/>
    <w:rsid w:val="00656268"/>
    <w:rsid w:val="00666747"/>
    <w:rsid w:val="00670120"/>
    <w:rsid w:val="00672332"/>
    <w:rsid w:val="00672E50"/>
    <w:rsid w:val="00680E7D"/>
    <w:rsid w:val="00682394"/>
    <w:rsid w:val="00685495"/>
    <w:rsid w:val="006A06BE"/>
    <w:rsid w:val="006A2C8E"/>
    <w:rsid w:val="006A4104"/>
    <w:rsid w:val="006B5C3B"/>
    <w:rsid w:val="006B65B7"/>
    <w:rsid w:val="006B6A8D"/>
    <w:rsid w:val="006C4B37"/>
    <w:rsid w:val="006C4F3C"/>
    <w:rsid w:val="006E218E"/>
    <w:rsid w:val="006E39D3"/>
    <w:rsid w:val="006E6091"/>
    <w:rsid w:val="006F3513"/>
    <w:rsid w:val="006F4B8E"/>
    <w:rsid w:val="006F5AA5"/>
    <w:rsid w:val="00716BDC"/>
    <w:rsid w:val="007261FD"/>
    <w:rsid w:val="0073400C"/>
    <w:rsid w:val="007412EA"/>
    <w:rsid w:val="00742BD5"/>
    <w:rsid w:val="00750FE3"/>
    <w:rsid w:val="0075730D"/>
    <w:rsid w:val="007630E6"/>
    <w:rsid w:val="00767D69"/>
    <w:rsid w:val="00783D73"/>
    <w:rsid w:val="0079111F"/>
    <w:rsid w:val="00793BC6"/>
    <w:rsid w:val="00794128"/>
    <w:rsid w:val="007A57D6"/>
    <w:rsid w:val="007A7318"/>
    <w:rsid w:val="007B1D33"/>
    <w:rsid w:val="007B7551"/>
    <w:rsid w:val="007C0846"/>
    <w:rsid w:val="007C2EE7"/>
    <w:rsid w:val="007C76B2"/>
    <w:rsid w:val="007E5F88"/>
    <w:rsid w:val="007F3A8A"/>
    <w:rsid w:val="00800BAA"/>
    <w:rsid w:val="00802E0A"/>
    <w:rsid w:val="00810BE6"/>
    <w:rsid w:val="0083202A"/>
    <w:rsid w:val="00835171"/>
    <w:rsid w:val="008404AC"/>
    <w:rsid w:val="00857A1E"/>
    <w:rsid w:val="00864FF7"/>
    <w:rsid w:val="0086591A"/>
    <w:rsid w:val="00895D95"/>
    <w:rsid w:val="008B0134"/>
    <w:rsid w:val="008B3514"/>
    <w:rsid w:val="008B4C92"/>
    <w:rsid w:val="008B6DB8"/>
    <w:rsid w:val="008B7BB2"/>
    <w:rsid w:val="008C1E9F"/>
    <w:rsid w:val="008C466F"/>
    <w:rsid w:val="008D64E0"/>
    <w:rsid w:val="008D7FEB"/>
    <w:rsid w:val="008E75C9"/>
    <w:rsid w:val="00901DD5"/>
    <w:rsid w:val="009048D8"/>
    <w:rsid w:val="00906504"/>
    <w:rsid w:val="009224C1"/>
    <w:rsid w:val="0092522B"/>
    <w:rsid w:val="00941015"/>
    <w:rsid w:val="0094536A"/>
    <w:rsid w:val="00951C6A"/>
    <w:rsid w:val="00973B3B"/>
    <w:rsid w:val="00983E75"/>
    <w:rsid w:val="00991638"/>
    <w:rsid w:val="009A0830"/>
    <w:rsid w:val="009A5E3C"/>
    <w:rsid w:val="009B1134"/>
    <w:rsid w:val="009D1E57"/>
    <w:rsid w:val="009E3826"/>
    <w:rsid w:val="009F1D37"/>
    <w:rsid w:val="009F2584"/>
    <w:rsid w:val="009F6B9E"/>
    <w:rsid w:val="009F6F49"/>
    <w:rsid w:val="00A03577"/>
    <w:rsid w:val="00A04A37"/>
    <w:rsid w:val="00A20674"/>
    <w:rsid w:val="00A24C5D"/>
    <w:rsid w:val="00A26FF4"/>
    <w:rsid w:val="00A27510"/>
    <w:rsid w:val="00A3461E"/>
    <w:rsid w:val="00A53722"/>
    <w:rsid w:val="00A544BB"/>
    <w:rsid w:val="00A60ED4"/>
    <w:rsid w:val="00A82594"/>
    <w:rsid w:val="00A82C5C"/>
    <w:rsid w:val="00A856D6"/>
    <w:rsid w:val="00A8641B"/>
    <w:rsid w:val="00A94306"/>
    <w:rsid w:val="00AB0D4B"/>
    <w:rsid w:val="00AB3E8B"/>
    <w:rsid w:val="00AC55F4"/>
    <w:rsid w:val="00AD5CE2"/>
    <w:rsid w:val="00AD5E6E"/>
    <w:rsid w:val="00B005E8"/>
    <w:rsid w:val="00B12DDC"/>
    <w:rsid w:val="00B139AE"/>
    <w:rsid w:val="00B14055"/>
    <w:rsid w:val="00B26981"/>
    <w:rsid w:val="00B3467D"/>
    <w:rsid w:val="00B37A24"/>
    <w:rsid w:val="00B41291"/>
    <w:rsid w:val="00B42780"/>
    <w:rsid w:val="00B43249"/>
    <w:rsid w:val="00B57CD0"/>
    <w:rsid w:val="00B6632B"/>
    <w:rsid w:val="00B7561D"/>
    <w:rsid w:val="00B758BA"/>
    <w:rsid w:val="00B8247B"/>
    <w:rsid w:val="00B93100"/>
    <w:rsid w:val="00B96E2D"/>
    <w:rsid w:val="00B97B81"/>
    <w:rsid w:val="00BA7377"/>
    <w:rsid w:val="00BB7096"/>
    <w:rsid w:val="00BC4B0C"/>
    <w:rsid w:val="00BD2710"/>
    <w:rsid w:val="00BD495F"/>
    <w:rsid w:val="00BD63D8"/>
    <w:rsid w:val="00BE18CA"/>
    <w:rsid w:val="00BE461D"/>
    <w:rsid w:val="00BF6BBD"/>
    <w:rsid w:val="00C03273"/>
    <w:rsid w:val="00C041B9"/>
    <w:rsid w:val="00C0529C"/>
    <w:rsid w:val="00C21985"/>
    <w:rsid w:val="00C22D2A"/>
    <w:rsid w:val="00C267EC"/>
    <w:rsid w:val="00C30527"/>
    <w:rsid w:val="00C3592B"/>
    <w:rsid w:val="00C37012"/>
    <w:rsid w:val="00C45FF6"/>
    <w:rsid w:val="00C5202A"/>
    <w:rsid w:val="00C5262E"/>
    <w:rsid w:val="00C53599"/>
    <w:rsid w:val="00C56D8D"/>
    <w:rsid w:val="00C66F7F"/>
    <w:rsid w:val="00C67433"/>
    <w:rsid w:val="00C67F99"/>
    <w:rsid w:val="00C706EA"/>
    <w:rsid w:val="00C759BD"/>
    <w:rsid w:val="00C7732B"/>
    <w:rsid w:val="00C81F9D"/>
    <w:rsid w:val="00C836E4"/>
    <w:rsid w:val="00C852DA"/>
    <w:rsid w:val="00C9511E"/>
    <w:rsid w:val="00C95845"/>
    <w:rsid w:val="00CA24B2"/>
    <w:rsid w:val="00CA6C29"/>
    <w:rsid w:val="00CB1FDC"/>
    <w:rsid w:val="00CB6269"/>
    <w:rsid w:val="00CB7421"/>
    <w:rsid w:val="00CB7C43"/>
    <w:rsid w:val="00CC0F49"/>
    <w:rsid w:val="00CD7B5E"/>
    <w:rsid w:val="00CE2043"/>
    <w:rsid w:val="00CE2379"/>
    <w:rsid w:val="00CF5530"/>
    <w:rsid w:val="00CF6F56"/>
    <w:rsid w:val="00D11052"/>
    <w:rsid w:val="00D1724A"/>
    <w:rsid w:val="00D20628"/>
    <w:rsid w:val="00D22A53"/>
    <w:rsid w:val="00D248A5"/>
    <w:rsid w:val="00D31C14"/>
    <w:rsid w:val="00D3370F"/>
    <w:rsid w:val="00D44721"/>
    <w:rsid w:val="00D503EB"/>
    <w:rsid w:val="00D62A77"/>
    <w:rsid w:val="00D77CBE"/>
    <w:rsid w:val="00D823D0"/>
    <w:rsid w:val="00D870E2"/>
    <w:rsid w:val="00DC22CB"/>
    <w:rsid w:val="00DC4EED"/>
    <w:rsid w:val="00DC5563"/>
    <w:rsid w:val="00DD72AB"/>
    <w:rsid w:val="00DF2401"/>
    <w:rsid w:val="00DF4985"/>
    <w:rsid w:val="00E039BD"/>
    <w:rsid w:val="00E10788"/>
    <w:rsid w:val="00E11049"/>
    <w:rsid w:val="00E11A3E"/>
    <w:rsid w:val="00E1619F"/>
    <w:rsid w:val="00E40E71"/>
    <w:rsid w:val="00E47CB0"/>
    <w:rsid w:val="00E505AC"/>
    <w:rsid w:val="00E56965"/>
    <w:rsid w:val="00E56CDB"/>
    <w:rsid w:val="00E70ADE"/>
    <w:rsid w:val="00E820CA"/>
    <w:rsid w:val="00E8353C"/>
    <w:rsid w:val="00E85438"/>
    <w:rsid w:val="00E95DB6"/>
    <w:rsid w:val="00E96903"/>
    <w:rsid w:val="00E96EFF"/>
    <w:rsid w:val="00EA1C88"/>
    <w:rsid w:val="00EB12E6"/>
    <w:rsid w:val="00EB2D9C"/>
    <w:rsid w:val="00EB4478"/>
    <w:rsid w:val="00EB5D5B"/>
    <w:rsid w:val="00EC7F0C"/>
    <w:rsid w:val="00EE7D82"/>
    <w:rsid w:val="00EF310F"/>
    <w:rsid w:val="00F07ABB"/>
    <w:rsid w:val="00F12870"/>
    <w:rsid w:val="00F16572"/>
    <w:rsid w:val="00F22A29"/>
    <w:rsid w:val="00F25A2E"/>
    <w:rsid w:val="00F33006"/>
    <w:rsid w:val="00F33500"/>
    <w:rsid w:val="00F33C3F"/>
    <w:rsid w:val="00F34145"/>
    <w:rsid w:val="00F4488C"/>
    <w:rsid w:val="00F52F64"/>
    <w:rsid w:val="00F56217"/>
    <w:rsid w:val="00F56D3E"/>
    <w:rsid w:val="00F614A7"/>
    <w:rsid w:val="00F62963"/>
    <w:rsid w:val="00F63243"/>
    <w:rsid w:val="00F6344B"/>
    <w:rsid w:val="00F641EC"/>
    <w:rsid w:val="00F704B9"/>
    <w:rsid w:val="00F74118"/>
    <w:rsid w:val="00F9324F"/>
    <w:rsid w:val="00FA60C2"/>
    <w:rsid w:val="00FA70CB"/>
    <w:rsid w:val="00FB003C"/>
    <w:rsid w:val="00FB3038"/>
    <w:rsid w:val="00FB4346"/>
    <w:rsid w:val="00FE4EEE"/>
    <w:rsid w:val="00FF3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876"/>
    <w:pPr>
      <w:spacing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BBD"/>
    <w:rPr>
      <w:color w:val="0000FF"/>
      <w:u w:val="single"/>
    </w:rPr>
  </w:style>
  <w:style w:type="paragraph" w:styleId="EndnoteText">
    <w:name w:val="endnote text"/>
    <w:aliases w:val="*Endnote Text"/>
    <w:basedOn w:val="BODY"/>
    <w:link w:val="EndnoteTextChar"/>
    <w:uiPriority w:val="99"/>
    <w:rsid w:val="00E56965"/>
    <w:pPr>
      <w:tabs>
        <w:tab w:val="left" w:pos="180"/>
      </w:tabs>
      <w:spacing w:after="0"/>
      <w:ind w:left="187" w:hanging="187"/>
    </w:pPr>
    <w:rPr>
      <w:rFonts w:ascii="Times New Roman" w:hAnsi="Times New Roman"/>
      <w:sz w:val="18"/>
    </w:rPr>
  </w:style>
  <w:style w:type="character" w:customStyle="1" w:styleId="EndnoteTextChar">
    <w:name w:val="Endnote Text Char"/>
    <w:aliases w:val="*Endnote Text Char"/>
    <w:basedOn w:val="DefaultParagraphFont"/>
    <w:link w:val="EndnoteText"/>
    <w:uiPriority w:val="99"/>
    <w:rsid w:val="00E56965"/>
    <w:rPr>
      <w:rFonts w:ascii="Times New Roman" w:eastAsia="Times" w:hAnsi="Times New Roman" w:cs="Times New Roman"/>
      <w:sz w:val="18"/>
      <w:szCs w:val="24"/>
    </w:rPr>
  </w:style>
  <w:style w:type="paragraph" w:customStyle="1" w:styleId="BODY">
    <w:name w:val="**BODY"/>
    <w:uiPriority w:val="99"/>
    <w:rsid w:val="009048D8"/>
    <w:pPr>
      <w:spacing w:after="240" w:line="240" w:lineRule="auto"/>
    </w:pPr>
    <w:rPr>
      <w:rFonts w:ascii="Adobe Garamond Pro" w:eastAsia="Times" w:hAnsi="Adobe Garamond Pro" w:cs="Times New Roman"/>
      <w:szCs w:val="24"/>
    </w:rPr>
  </w:style>
  <w:style w:type="character" w:styleId="EndnoteReference">
    <w:name w:val="endnote reference"/>
    <w:aliases w:val="*Endnote Reference"/>
    <w:basedOn w:val="DefaultParagraphFont"/>
    <w:uiPriority w:val="99"/>
    <w:rsid w:val="009048D8"/>
    <w:rPr>
      <w:color w:val="061115" w:themeColor="accent5" w:themeShade="1A"/>
      <w:vertAlign w:val="superscript"/>
    </w:rPr>
  </w:style>
  <w:style w:type="character" w:styleId="FollowedHyperlink">
    <w:name w:val="FollowedHyperlink"/>
    <w:basedOn w:val="DefaultParagraphFont"/>
    <w:uiPriority w:val="99"/>
    <w:semiHidden/>
    <w:unhideWhenUsed/>
    <w:rsid w:val="006A4104"/>
    <w:rPr>
      <w:color w:val="800080" w:themeColor="followedHyperlink"/>
      <w:u w:val="single"/>
    </w:rPr>
  </w:style>
  <w:style w:type="character" w:styleId="CommentReference">
    <w:name w:val="annotation reference"/>
    <w:basedOn w:val="DefaultParagraphFont"/>
    <w:uiPriority w:val="99"/>
    <w:semiHidden/>
    <w:unhideWhenUsed/>
    <w:rsid w:val="00012638"/>
    <w:rPr>
      <w:sz w:val="16"/>
      <w:szCs w:val="16"/>
    </w:rPr>
  </w:style>
  <w:style w:type="paragraph" w:styleId="CommentText">
    <w:name w:val="annotation text"/>
    <w:basedOn w:val="Normal"/>
    <w:link w:val="CommentTextChar"/>
    <w:uiPriority w:val="99"/>
    <w:semiHidden/>
    <w:unhideWhenUsed/>
    <w:rsid w:val="00012638"/>
    <w:pPr>
      <w:spacing w:line="240" w:lineRule="auto"/>
    </w:pPr>
    <w:rPr>
      <w:sz w:val="20"/>
      <w:szCs w:val="20"/>
    </w:rPr>
  </w:style>
  <w:style w:type="character" w:customStyle="1" w:styleId="CommentTextChar">
    <w:name w:val="Comment Text Char"/>
    <w:basedOn w:val="DefaultParagraphFont"/>
    <w:link w:val="CommentText"/>
    <w:uiPriority w:val="99"/>
    <w:semiHidden/>
    <w:rsid w:val="0001263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2638"/>
    <w:rPr>
      <w:b/>
      <w:bCs/>
    </w:rPr>
  </w:style>
  <w:style w:type="character" w:customStyle="1" w:styleId="CommentSubjectChar">
    <w:name w:val="Comment Subject Char"/>
    <w:basedOn w:val="CommentTextChar"/>
    <w:link w:val="CommentSubject"/>
    <w:uiPriority w:val="99"/>
    <w:semiHidden/>
    <w:rsid w:val="0001263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12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638"/>
    <w:rPr>
      <w:rFonts w:ascii="Tahoma" w:hAnsi="Tahoma" w:cs="Tahoma"/>
      <w:sz w:val="16"/>
      <w:szCs w:val="16"/>
    </w:rPr>
  </w:style>
  <w:style w:type="paragraph" w:styleId="ListParagraph">
    <w:name w:val="List Paragraph"/>
    <w:basedOn w:val="Normal"/>
    <w:uiPriority w:val="34"/>
    <w:qFormat/>
    <w:rsid w:val="00446913"/>
    <w:pPr>
      <w:ind w:left="720"/>
      <w:contextualSpacing/>
    </w:pPr>
  </w:style>
  <w:style w:type="paragraph" w:styleId="Header">
    <w:name w:val="header"/>
    <w:basedOn w:val="Normal"/>
    <w:link w:val="HeaderChar"/>
    <w:uiPriority w:val="99"/>
    <w:unhideWhenUsed/>
    <w:rsid w:val="00716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BDC"/>
    <w:rPr>
      <w:rFonts w:ascii="Times New Roman" w:hAnsi="Times New Roman" w:cs="Times New Roman"/>
      <w:sz w:val="24"/>
      <w:szCs w:val="24"/>
    </w:rPr>
  </w:style>
  <w:style w:type="paragraph" w:styleId="Footer">
    <w:name w:val="footer"/>
    <w:basedOn w:val="Normal"/>
    <w:link w:val="FooterChar"/>
    <w:uiPriority w:val="99"/>
    <w:unhideWhenUsed/>
    <w:rsid w:val="00716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BD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876"/>
    <w:pPr>
      <w:spacing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BBD"/>
    <w:rPr>
      <w:color w:val="0000FF"/>
      <w:u w:val="single"/>
    </w:rPr>
  </w:style>
  <w:style w:type="paragraph" w:styleId="EndnoteText">
    <w:name w:val="endnote text"/>
    <w:aliases w:val="*Endnote Text"/>
    <w:basedOn w:val="BODY"/>
    <w:link w:val="EndnoteTextChar"/>
    <w:uiPriority w:val="99"/>
    <w:rsid w:val="00E56965"/>
    <w:pPr>
      <w:tabs>
        <w:tab w:val="left" w:pos="180"/>
      </w:tabs>
      <w:spacing w:after="0"/>
      <w:ind w:left="187" w:hanging="187"/>
    </w:pPr>
    <w:rPr>
      <w:rFonts w:ascii="Times New Roman" w:hAnsi="Times New Roman"/>
      <w:sz w:val="18"/>
    </w:rPr>
  </w:style>
  <w:style w:type="character" w:customStyle="1" w:styleId="EndnoteTextChar">
    <w:name w:val="Endnote Text Char"/>
    <w:aliases w:val="*Endnote Text Char"/>
    <w:basedOn w:val="DefaultParagraphFont"/>
    <w:link w:val="EndnoteText"/>
    <w:uiPriority w:val="99"/>
    <w:rsid w:val="00E56965"/>
    <w:rPr>
      <w:rFonts w:ascii="Times New Roman" w:eastAsia="Times" w:hAnsi="Times New Roman" w:cs="Times New Roman"/>
      <w:sz w:val="18"/>
      <w:szCs w:val="24"/>
    </w:rPr>
  </w:style>
  <w:style w:type="paragraph" w:customStyle="1" w:styleId="BODY">
    <w:name w:val="**BODY"/>
    <w:uiPriority w:val="99"/>
    <w:rsid w:val="009048D8"/>
    <w:pPr>
      <w:spacing w:after="240" w:line="240" w:lineRule="auto"/>
    </w:pPr>
    <w:rPr>
      <w:rFonts w:ascii="Adobe Garamond Pro" w:eastAsia="Times" w:hAnsi="Adobe Garamond Pro" w:cs="Times New Roman"/>
      <w:szCs w:val="24"/>
    </w:rPr>
  </w:style>
  <w:style w:type="character" w:styleId="EndnoteReference">
    <w:name w:val="endnote reference"/>
    <w:aliases w:val="*Endnote Reference"/>
    <w:basedOn w:val="DefaultParagraphFont"/>
    <w:uiPriority w:val="99"/>
    <w:rsid w:val="009048D8"/>
    <w:rPr>
      <w:color w:val="061115" w:themeColor="accent5" w:themeShade="1A"/>
      <w:vertAlign w:val="superscript"/>
    </w:rPr>
  </w:style>
  <w:style w:type="character" w:styleId="FollowedHyperlink">
    <w:name w:val="FollowedHyperlink"/>
    <w:basedOn w:val="DefaultParagraphFont"/>
    <w:uiPriority w:val="99"/>
    <w:semiHidden/>
    <w:unhideWhenUsed/>
    <w:rsid w:val="006A4104"/>
    <w:rPr>
      <w:color w:val="800080" w:themeColor="followedHyperlink"/>
      <w:u w:val="single"/>
    </w:rPr>
  </w:style>
  <w:style w:type="character" w:styleId="CommentReference">
    <w:name w:val="annotation reference"/>
    <w:basedOn w:val="DefaultParagraphFont"/>
    <w:uiPriority w:val="99"/>
    <w:semiHidden/>
    <w:unhideWhenUsed/>
    <w:rsid w:val="00012638"/>
    <w:rPr>
      <w:sz w:val="16"/>
      <w:szCs w:val="16"/>
    </w:rPr>
  </w:style>
  <w:style w:type="paragraph" w:styleId="CommentText">
    <w:name w:val="annotation text"/>
    <w:basedOn w:val="Normal"/>
    <w:link w:val="CommentTextChar"/>
    <w:uiPriority w:val="99"/>
    <w:semiHidden/>
    <w:unhideWhenUsed/>
    <w:rsid w:val="00012638"/>
    <w:pPr>
      <w:spacing w:line="240" w:lineRule="auto"/>
    </w:pPr>
    <w:rPr>
      <w:sz w:val="20"/>
      <w:szCs w:val="20"/>
    </w:rPr>
  </w:style>
  <w:style w:type="character" w:customStyle="1" w:styleId="CommentTextChar">
    <w:name w:val="Comment Text Char"/>
    <w:basedOn w:val="DefaultParagraphFont"/>
    <w:link w:val="CommentText"/>
    <w:uiPriority w:val="99"/>
    <w:semiHidden/>
    <w:rsid w:val="0001263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2638"/>
    <w:rPr>
      <w:b/>
      <w:bCs/>
    </w:rPr>
  </w:style>
  <w:style w:type="character" w:customStyle="1" w:styleId="CommentSubjectChar">
    <w:name w:val="Comment Subject Char"/>
    <w:basedOn w:val="CommentTextChar"/>
    <w:link w:val="CommentSubject"/>
    <w:uiPriority w:val="99"/>
    <w:semiHidden/>
    <w:rsid w:val="0001263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12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638"/>
    <w:rPr>
      <w:rFonts w:ascii="Tahoma" w:hAnsi="Tahoma" w:cs="Tahoma"/>
      <w:sz w:val="16"/>
      <w:szCs w:val="16"/>
    </w:rPr>
  </w:style>
  <w:style w:type="paragraph" w:styleId="ListParagraph">
    <w:name w:val="List Paragraph"/>
    <w:basedOn w:val="Normal"/>
    <w:uiPriority w:val="34"/>
    <w:qFormat/>
    <w:rsid w:val="00446913"/>
    <w:pPr>
      <w:ind w:left="720"/>
      <w:contextualSpacing/>
    </w:pPr>
  </w:style>
  <w:style w:type="paragraph" w:styleId="Header">
    <w:name w:val="header"/>
    <w:basedOn w:val="Normal"/>
    <w:link w:val="HeaderChar"/>
    <w:uiPriority w:val="99"/>
    <w:unhideWhenUsed/>
    <w:rsid w:val="00716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BDC"/>
    <w:rPr>
      <w:rFonts w:ascii="Times New Roman" w:hAnsi="Times New Roman" w:cs="Times New Roman"/>
      <w:sz w:val="24"/>
      <w:szCs w:val="24"/>
    </w:rPr>
  </w:style>
  <w:style w:type="paragraph" w:styleId="Footer">
    <w:name w:val="footer"/>
    <w:basedOn w:val="Normal"/>
    <w:link w:val="FooterChar"/>
    <w:uiPriority w:val="99"/>
    <w:unhideWhenUsed/>
    <w:rsid w:val="00716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BD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fas.org/irp/offdocs/pdd-nec-e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48725-4782-496E-927F-4B9A463F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Cloud Computing: An Overview of the Technology and the Issues Facing American Innovators</vt:lpstr>
    </vt:vector>
  </TitlesOfParts>
  <Company>Microsoft</Company>
  <LinksUpToDate>false</LinksUpToDate>
  <CharactersWithSpaces>12401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Computing: An Overview of the Technology and the Issues Facing American Innovators</dc:title>
  <dc:creator>Daniel Castro</dc:creator>
  <cp:lastModifiedBy>Daniel Castro</cp:lastModifiedBy>
  <cp:revision>11</cp:revision>
  <cp:lastPrinted>2012-07-24T17:27:00Z</cp:lastPrinted>
  <dcterms:created xsi:type="dcterms:W3CDTF">2014-04-09T13:33:00Z</dcterms:created>
  <dcterms:modified xsi:type="dcterms:W3CDTF">2014-04-09T14:15:00Z</dcterms:modified>
</cp:coreProperties>
</file>